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CDA" w:rsidRPr="006E62D7" w:rsidRDefault="0000051E" w:rsidP="006E62D7">
      <w:pPr>
        <w:ind w:left="-360"/>
        <w:rPr>
          <w:rFonts w:ascii="Cambria" w:hAnsi="Cambria"/>
          <w:b/>
          <w:bCs/>
          <w:lang w:val="en-US"/>
        </w:rPr>
      </w:pPr>
      <w:r w:rsidRPr="006E62D7">
        <w:rPr>
          <w:rFonts w:ascii="Cambria" w:hAnsi="Cambria"/>
          <w:b/>
          <w:bCs/>
          <w:lang w:val="en-US"/>
        </w:rPr>
        <w:t>Ref: CO/</w:t>
      </w:r>
      <w:proofErr w:type="spellStart"/>
      <w:r w:rsidRPr="006E62D7">
        <w:rPr>
          <w:rFonts w:ascii="Cambria" w:hAnsi="Cambria"/>
          <w:b/>
          <w:bCs/>
          <w:lang w:val="en-US"/>
        </w:rPr>
        <w:t>Actl</w:t>
      </w:r>
      <w:proofErr w:type="spellEnd"/>
      <w:r w:rsidRPr="006E62D7">
        <w:rPr>
          <w:rFonts w:ascii="Cambria" w:hAnsi="Cambria"/>
          <w:b/>
          <w:bCs/>
          <w:lang w:val="en-US"/>
        </w:rPr>
        <w:t>/2021/AS-202011/A</w:t>
      </w:r>
      <w:r w:rsidR="002A3EB8">
        <w:rPr>
          <w:rFonts w:ascii="Cambria" w:hAnsi="Cambria"/>
          <w:b/>
          <w:bCs/>
          <w:lang w:val="en-US"/>
        </w:rPr>
        <w:t>20</w:t>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t>Date:</w:t>
      </w:r>
      <w:r w:rsidR="00201CEB">
        <w:rPr>
          <w:rFonts w:ascii="Cambria" w:hAnsi="Cambria"/>
          <w:b/>
          <w:bCs/>
          <w:lang w:val="en-US"/>
        </w:rPr>
        <w:t xml:space="preserve"> </w:t>
      </w:r>
      <w:r w:rsidR="005F0EC6">
        <w:rPr>
          <w:rFonts w:ascii="Cambria" w:hAnsi="Cambria"/>
          <w:b/>
          <w:bCs/>
          <w:lang w:val="en-US"/>
        </w:rPr>
        <w:t>23.11.2020</w:t>
      </w:r>
      <w:bookmarkStart w:id="0" w:name="_GoBack"/>
      <w:bookmarkEnd w:id="0"/>
    </w:p>
    <w:p w:rsidR="00206263" w:rsidRPr="00C56574" w:rsidRDefault="00206263" w:rsidP="006E62D7">
      <w:pPr>
        <w:spacing w:after="0"/>
        <w:jc w:val="center"/>
        <w:rPr>
          <w:rFonts w:ascii="Cambria" w:hAnsi="Cambria"/>
          <w:b/>
          <w:bCs/>
          <w:color w:val="0070C0"/>
          <w:sz w:val="24"/>
          <w:szCs w:val="24"/>
          <w:lang w:val="en-US"/>
        </w:rPr>
      </w:pPr>
      <w:r w:rsidRPr="00C56574">
        <w:rPr>
          <w:rFonts w:ascii="Cambria" w:hAnsi="Cambria"/>
          <w:b/>
          <w:bCs/>
          <w:color w:val="0070C0"/>
          <w:sz w:val="24"/>
          <w:szCs w:val="24"/>
          <w:lang w:val="en-US"/>
        </w:rPr>
        <w:t xml:space="preserve">ANNEXURE </w:t>
      </w:r>
      <w:r w:rsidR="002A3EB8">
        <w:rPr>
          <w:rFonts w:ascii="Cambria" w:hAnsi="Cambria"/>
          <w:b/>
          <w:bCs/>
          <w:color w:val="0070C0"/>
          <w:sz w:val="24"/>
          <w:szCs w:val="24"/>
          <w:lang w:val="en-US"/>
        </w:rPr>
        <w:t>XX</w:t>
      </w:r>
    </w:p>
    <w:p w:rsidR="00C56574" w:rsidRDefault="002A3EB8" w:rsidP="00C56574">
      <w:pPr>
        <w:spacing w:after="0" w:line="240" w:lineRule="auto"/>
        <w:jc w:val="center"/>
        <w:rPr>
          <w:rFonts w:ascii="Cambria" w:hAnsi="Cambria"/>
          <w:b/>
          <w:bCs/>
          <w:color w:val="0070C0"/>
          <w:sz w:val="24"/>
          <w:szCs w:val="24"/>
          <w:lang w:val="en-US"/>
        </w:rPr>
      </w:pPr>
      <w:r>
        <w:rPr>
          <w:rFonts w:ascii="Cambria" w:hAnsi="Cambria"/>
          <w:b/>
          <w:bCs/>
          <w:color w:val="0070C0"/>
          <w:sz w:val="24"/>
          <w:szCs w:val="24"/>
          <w:lang w:val="en-US"/>
        </w:rPr>
        <w:t xml:space="preserve">DIPAM – Scope of Work of the Actuarial Firm </w:t>
      </w:r>
    </w:p>
    <w:p w:rsidR="002A3EB8" w:rsidRDefault="002A3EB8" w:rsidP="00C56574">
      <w:pPr>
        <w:spacing w:after="0" w:line="240" w:lineRule="auto"/>
        <w:jc w:val="center"/>
        <w:rPr>
          <w:rFonts w:ascii="Cambria" w:eastAsia="Times New Roman" w:hAnsi="Cambria" w:cs="Courier New"/>
          <w:bCs/>
          <w:color w:val="2F5496" w:themeColor="accent1" w:themeShade="BF"/>
          <w:sz w:val="24"/>
          <w:lang w:val="en-US" w:eastAsia="en-IN"/>
        </w:rPr>
      </w:pPr>
      <w:r>
        <w:rPr>
          <w:rFonts w:ascii="Cambria" w:hAnsi="Cambria"/>
          <w:b/>
          <w:bCs/>
          <w:color w:val="0070C0"/>
          <w:sz w:val="24"/>
          <w:szCs w:val="24"/>
          <w:lang w:val="en-US"/>
        </w:rPr>
        <w:t>Ref: File No. 4/3/2020-DIPAM-II-A, Govt. of India, Ministry of Finance, Department of Investment &amp; Public Asset Management</w:t>
      </w:r>
    </w:p>
    <w:p w:rsidR="0073409E" w:rsidRDefault="007E47CF" w:rsidP="00206263">
      <w:pPr>
        <w:spacing w:after="0"/>
        <w:jc w:val="center"/>
        <w:rPr>
          <w:rFonts w:ascii="Cambria" w:eastAsia="Times New Roman" w:hAnsi="Cambria" w:cs="Courier New"/>
          <w:bCs/>
          <w:color w:val="2F5496" w:themeColor="accent1" w:themeShade="BF"/>
          <w:sz w:val="24"/>
          <w:lang w:val="en-US" w:eastAsia="en-IN"/>
        </w:rPr>
      </w:pPr>
      <w:r>
        <w:rPr>
          <w:rFonts w:ascii="Cambria" w:hAnsi="Cambria"/>
          <w:b/>
          <w:bCs/>
          <w:noProof/>
          <w:color w:val="44546A" w:themeColor="text2"/>
          <w:lang w:val="en-US"/>
        </w:rPr>
        <w:pict>
          <v:line id="Straight Connector 2" o:spid="_x0000_s1026" style="position:absolute;left:0;text-align:left;flip:y;z-index:251659264;visibility:visible;mso-position-horizontal-relative:margin;mso-width-relative:margin;mso-height-relative:margin" from="4.3pt,7.85pt" to="452.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" strokecolor="#ffc000" strokeweight="1pt">
            <v:stroke joinstyle="miter"/>
            <w10:wrap anchorx="margin"/>
          </v:line>
        </w:pict>
      </w:r>
    </w:p>
    <w:p w:rsidR="00206263" w:rsidRPr="006E62D7" w:rsidRDefault="00206263" w:rsidP="00206263">
      <w:pPr>
        <w:spacing w:after="0"/>
        <w:jc w:val="center"/>
        <w:rPr>
          <w:rFonts w:ascii="Cambria" w:eastAsia="Times New Roman" w:hAnsi="Cambria" w:cs="Courier New"/>
          <w:bCs/>
          <w:color w:val="2F5496" w:themeColor="accent1" w:themeShade="BF"/>
          <w:sz w:val="24"/>
          <w:lang w:val="en-US" w:eastAsia="en-IN"/>
        </w:rPr>
      </w:pPr>
      <w:r w:rsidRPr="006E62D7">
        <w:rPr>
          <w:rFonts w:ascii="Cambria" w:eastAsia="Times New Roman" w:hAnsi="Cambria" w:cs="Courier New"/>
          <w:bCs/>
          <w:color w:val="2F5496" w:themeColor="accent1" w:themeShade="BF"/>
          <w:sz w:val="24"/>
          <w:lang w:val="en-US" w:eastAsia="en-IN"/>
        </w:rPr>
        <w:t>RFP for Integrated Suite of Actuarial Software for Life Insurance</w:t>
      </w:r>
      <w:r w:rsidR="002A3EB8">
        <w:rPr>
          <w:rFonts w:ascii="Cambria" w:eastAsia="Times New Roman" w:hAnsi="Cambria" w:cs="Courier New"/>
          <w:bCs/>
          <w:color w:val="2F5496" w:themeColor="accent1" w:themeShade="BF"/>
          <w:sz w:val="24"/>
          <w:lang w:val="en-US" w:eastAsia="en-IN"/>
        </w:rPr>
        <w:t xml:space="preserve"> </w:t>
      </w:r>
    </w:p>
    <w:p w:rsidR="00206263" w:rsidRPr="006E62D7" w:rsidRDefault="00206263" w:rsidP="00206263">
      <w:pPr>
        <w:spacing w:after="0"/>
        <w:jc w:val="center"/>
        <w:rPr>
          <w:rFonts w:ascii="Cambria" w:hAnsi="Cambria"/>
          <w:bCs/>
          <w:color w:val="2F5496" w:themeColor="accent1" w:themeShade="BF"/>
          <w:lang w:val="en-US"/>
        </w:rPr>
      </w:pPr>
      <w:r w:rsidRPr="006E62D7">
        <w:rPr>
          <w:rFonts w:ascii="Cambria" w:eastAsia="Times New Roman" w:hAnsi="Cambria" w:cs="Courier New"/>
          <w:bCs/>
          <w:color w:val="2F5496" w:themeColor="accent1" w:themeShade="BF"/>
          <w:sz w:val="24"/>
          <w:lang w:val="en-US" w:eastAsia="en-IN"/>
        </w:rPr>
        <w:t xml:space="preserve">Ref: </w:t>
      </w:r>
      <w:r w:rsidRPr="006E62D7">
        <w:rPr>
          <w:rFonts w:ascii="Cambria" w:hAnsi="Cambria"/>
          <w:bCs/>
          <w:color w:val="2F5496" w:themeColor="accent1" w:themeShade="BF"/>
          <w:lang w:val="en-US"/>
        </w:rPr>
        <w:t>CO/</w:t>
      </w:r>
      <w:proofErr w:type="spellStart"/>
      <w:r w:rsidRPr="006E62D7">
        <w:rPr>
          <w:rFonts w:ascii="Cambria" w:hAnsi="Cambria"/>
          <w:bCs/>
          <w:color w:val="2F5496" w:themeColor="accent1" w:themeShade="BF"/>
          <w:lang w:val="en-US"/>
        </w:rPr>
        <w:t>Actl</w:t>
      </w:r>
      <w:proofErr w:type="spellEnd"/>
      <w:r w:rsidRPr="006E62D7">
        <w:rPr>
          <w:rFonts w:ascii="Cambria" w:hAnsi="Cambria"/>
          <w:bCs/>
          <w:color w:val="2F5496" w:themeColor="accent1" w:themeShade="BF"/>
          <w:lang w:val="en-US"/>
        </w:rPr>
        <w:t>/2021/AS-202011/RFP</w:t>
      </w:r>
    </w:p>
    <w:p w:rsidR="00206263" w:rsidRDefault="00206263" w:rsidP="00206263">
      <w:pPr>
        <w:spacing w:after="0"/>
        <w:rPr>
          <w:rFonts w:ascii="Cambria" w:hAnsi="Cambria"/>
          <w:lang w:val="en-US"/>
        </w:rPr>
      </w:pPr>
    </w:p>
    <w:p w:rsidR="006E62D7" w:rsidRDefault="008201D5" w:rsidP="00206263">
      <w:pPr>
        <w:spacing w:after="0"/>
        <w:rPr>
          <w:rFonts w:ascii="Cambria" w:hAnsi="Cambria"/>
          <w:lang w:val="en-US"/>
        </w:rPr>
      </w:pPr>
      <w:r>
        <w:rPr>
          <w:rFonts w:ascii="Cambria" w:hAnsi="Cambria"/>
          <w:lang w:val="en-US"/>
        </w:rPr>
        <w:t xml:space="preserve">The software will facilitate with output to meet the outcome requirements of the Actuarial Consulting firm being appointed by </w:t>
      </w:r>
      <w:proofErr w:type="gramStart"/>
      <w:r>
        <w:rPr>
          <w:rFonts w:ascii="Cambria" w:hAnsi="Cambria"/>
          <w:lang w:val="en-US"/>
        </w:rPr>
        <w:t>DIPAM .</w:t>
      </w:r>
      <w:proofErr w:type="gramEnd"/>
      <w:r>
        <w:rPr>
          <w:rFonts w:ascii="Cambria" w:hAnsi="Cambria"/>
          <w:lang w:val="en-US"/>
        </w:rPr>
        <w:t xml:space="preserve"> </w:t>
      </w:r>
    </w:p>
    <w:p w:rsidR="008201D5" w:rsidRDefault="008201D5" w:rsidP="00206263">
      <w:pPr>
        <w:spacing w:after="0"/>
        <w:rPr>
          <w:rFonts w:ascii="Cambria" w:hAnsi="Cambria"/>
          <w:lang w:val="en-US"/>
        </w:rPr>
      </w:pPr>
    </w:p>
    <w:p w:rsidR="002A3EB8" w:rsidRPr="002A3EB8" w:rsidRDefault="002A3EB8" w:rsidP="002A3EB8">
      <w:pPr>
        <w:spacing w:after="0"/>
        <w:jc w:val="both"/>
        <w:rPr>
          <w:rFonts w:ascii="Cambria" w:hAnsi="Cambria"/>
          <w:b/>
          <w:lang w:val="en-US"/>
        </w:rPr>
      </w:pPr>
      <w:r w:rsidRPr="002A3EB8">
        <w:rPr>
          <w:rFonts w:ascii="Cambria" w:hAnsi="Cambria"/>
          <w:b/>
          <w:lang w:val="en-US"/>
        </w:rPr>
        <w:t xml:space="preserve">4.1 </w:t>
      </w:r>
      <w:r w:rsidR="00E21F86">
        <w:rPr>
          <w:rFonts w:ascii="Cambria" w:hAnsi="Cambria"/>
          <w:b/>
          <w:lang w:val="en-US"/>
        </w:rPr>
        <w:tab/>
      </w:r>
      <w:r w:rsidRPr="002A3EB8">
        <w:rPr>
          <w:rFonts w:ascii="Cambria" w:hAnsi="Cambria"/>
          <w:b/>
          <w:lang w:val="en-US"/>
        </w:rPr>
        <w:t>The Scope of Work covers the following:</w:t>
      </w:r>
    </w:p>
    <w:p w:rsidR="002A3EB8" w:rsidRDefault="002A3EB8" w:rsidP="002A3EB8">
      <w:pPr>
        <w:spacing w:after="0"/>
        <w:jc w:val="both"/>
        <w:rPr>
          <w:rFonts w:ascii="Cambria" w:hAnsi="Cambria"/>
          <w:lang w:val="en-US"/>
        </w:rPr>
      </w:pPr>
    </w:p>
    <w:p w:rsidR="002A3EB8" w:rsidRPr="002A3EB8" w:rsidRDefault="002A3EB8" w:rsidP="002A3EB8">
      <w:pPr>
        <w:pStyle w:val="ListParagraph"/>
        <w:numPr>
          <w:ilvl w:val="0"/>
          <w:numId w:val="3"/>
        </w:numPr>
        <w:spacing w:after="0"/>
        <w:jc w:val="both"/>
        <w:rPr>
          <w:rFonts w:ascii="Cambria" w:hAnsi="Cambria"/>
          <w:lang w:val="en-US"/>
        </w:rPr>
      </w:pPr>
      <w:r w:rsidRPr="002A3EB8">
        <w:rPr>
          <w:rFonts w:ascii="Cambria" w:hAnsi="Cambria"/>
          <w:lang w:val="en-US"/>
        </w:rPr>
        <w:t>The Global Actuarial Firm would be required to work with the appointed Actuaries and Management of LICI to mutually agree on an appropriate methodology to be used in the calculations of IEV and determine IEV that complies with the requirements of Actuarial Practice Standards and Guidance Notes issued by the Institute of Actuaries of India (IAI) and LIC Act, 1956 and IRDAI, which would include the following:</w:t>
      </w:r>
    </w:p>
    <w:p w:rsidR="002A3EB8" w:rsidRPr="002A3EB8" w:rsidRDefault="002A3EB8" w:rsidP="002A3EB8">
      <w:pPr>
        <w:spacing w:after="0"/>
        <w:jc w:val="both"/>
        <w:rPr>
          <w:rFonts w:ascii="Cambria" w:hAnsi="Cambria"/>
          <w:lang w:val="en-US"/>
        </w:rPr>
      </w:pPr>
    </w:p>
    <w:p w:rsidR="002A3EB8" w:rsidRPr="002A3EB8" w:rsidRDefault="002A3EB8" w:rsidP="002A3EB8">
      <w:pPr>
        <w:pStyle w:val="ListParagraph"/>
        <w:numPr>
          <w:ilvl w:val="0"/>
          <w:numId w:val="4"/>
        </w:numPr>
        <w:spacing w:after="0"/>
        <w:ind w:left="1530"/>
        <w:jc w:val="both"/>
        <w:rPr>
          <w:rFonts w:ascii="Cambria" w:hAnsi="Cambria"/>
          <w:lang w:val="en-US"/>
        </w:rPr>
      </w:pPr>
      <w:r w:rsidRPr="002A3EB8">
        <w:rPr>
          <w:rFonts w:ascii="Cambria" w:hAnsi="Cambria"/>
          <w:lang w:val="en-US"/>
        </w:rPr>
        <w:t>Implementation of the IEV framework as per Actuarial Practice Standard 10 (APS 10), issued by Institute of Actuaries of India, and IRDAI (Issuance of Capital by Indian Insurance Companies Transacting Life Insurance Business) Regulations, 2015, determination of IEV, preparation of the IEV report and providing support in the IPO process.</w:t>
      </w:r>
    </w:p>
    <w:p w:rsidR="002A3EB8" w:rsidRPr="002A3EB8" w:rsidRDefault="002A3EB8" w:rsidP="002A3EB8">
      <w:pPr>
        <w:spacing w:after="0"/>
        <w:ind w:left="1530"/>
        <w:jc w:val="both"/>
        <w:rPr>
          <w:rFonts w:ascii="Cambria" w:hAnsi="Cambria"/>
          <w:lang w:val="en-US"/>
        </w:rPr>
      </w:pPr>
    </w:p>
    <w:p w:rsidR="002A3EB8" w:rsidRPr="002A3EB8" w:rsidRDefault="002A3EB8" w:rsidP="002A3EB8">
      <w:pPr>
        <w:pStyle w:val="ListParagraph"/>
        <w:numPr>
          <w:ilvl w:val="0"/>
          <w:numId w:val="4"/>
        </w:numPr>
        <w:spacing w:after="0"/>
        <w:ind w:left="1530"/>
        <w:jc w:val="both"/>
        <w:rPr>
          <w:rFonts w:ascii="Cambria" w:hAnsi="Cambria"/>
          <w:lang w:val="en-US"/>
        </w:rPr>
      </w:pPr>
      <w:r w:rsidRPr="002A3EB8">
        <w:rPr>
          <w:rFonts w:ascii="Cambria" w:hAnsi="Cambria"/>
          <w:lang w:val="en-US"/>
        </w:rPr>
        <w:t>To review and report on the methodology, economic and operating assumptions used to determine the components of IEV and comply with the relevant IEV principles:</w:t>
      </w:r>
    </w:p>
    <w:p w:rsidR="002A3EB8" w:rsidRPr="002A3EB8" w:rsidRDefault="002A3EB8" w:rsidP="002A3EB8">
      <w:pPr>
        <w:spacing w:after="0"/>
        <w:ind w:left="1530"/>
        <w:jc w:val="both"/>
        <w:rPr>
          <w:rFonts w:ascii="Cambria" w:hAnsi="Cambria"/>
          <w:lang w:val="en-US"/>
        </w:rPr>
      </w:pPr>
    </w:p>
    <w:p w:rsidR="002A3EB8" w:rsidRPr="002A3EB8" w:rsidRDefault="002A3EB8" w:rsidP="002A3EB8">
      <w:pPr>
        <w:pStyle w:val="ListParagraph"/>
        <w:numPr>
          <w:ilvl w:val="0"/>
          <w:numId w:val="4"/>
        </w:numPr>
        <w:spacing w:after="0"/>
        <w:ind w:left="1530"/>
        <w:jc w:val="both"/>
        <w:rPr>
          <w:rFonts w:ascii="Cambria" w:hAnsi="Cambria"/>
          <w:lang w:val="en-US"/>
        </w:rPr>
      </w:pPr>
      <w:r w:rsidRPr="002A3EB8">
        <w:rPr>
          <w:rFonts w:ascii="Cambria" w:hAnsi="Cambria"/>
          <w:lang w:val="en-US"/>
        </w:rPr>
        <w:t>The Actuarial Firm shall designate an Actuary as “Reporting Actuary” as per Para 2.3 of APS 10 who shall determine and report on the following results:</w:t>
      </w:r>
    </w:p>
    <w:p w:rsidR="002A3EB8" w:rsidRPr="002A3EB8" w:rsidRDefault="002A3EB8" w:rsidP="002A3EB8">
      <w:pPr>
        <w:spacing w:after="0"/>
        <w:jc w:val="both"/>
        <w:rPr>
          <w:rFonts w:ascii="Cambria" w:hAnsi="Cambria"/>
          <w:lang w:val="en-US"/>
        </w:rPr>
      </w:pPr>
    </w:p>
    <w:p w:rsidR="002A3EB8" w:rsidRPr="002A3EB8" w:rsidRDefault="002A3EB8" w:rsidP="002A3EB8">
      <w:pPr>
        <w:pStyle w:val="ListParagraph"/>
        <w:numPr>
          <w:ilvl w:val="0"/>
          <w:numId w:val="5"/>
        </w:numPr>
        <w:spacing w:after="0"/>
        <w:ind w:left="2340"/>
        <w:jc w:val="both"/>
        <w:rPr>
          <w:rFonts w:ascii="Cambria" w:hAnsi="Cambria"/>
          <w:lang w:val="en-US"/>
        </w:rPr>
      </w:pPr>
      <w:r w:rsidRPr="002A3EB8">
        <w:rPr>
          <w:rFonts w:ascii="Cambria" w:hAnsi="Cambria"/>
          <w:lang w:val="en-US"/>
        </w:rPr>
        <w:t>IEV comprising Adjusted Net Worth (ANW) and Value of In-Force business (VIF) as at 31 March 2021 and for the previous period as on 31 March 2020* ;</w:t>
      </w:r>
    </w:p>
    <w:p w:rsidR="002A3EB8" w:rsidRPr="002A3EB8" w:rsidRDefault="002A3EB8" w:rsidP="002A3EB8">
      <w:pPr>
        <w:spacing w:after="0"/>
        <w:ind w:left="2340"/>
        <w:jc w:val="both"/>
        <w:rPr>
          <w:rFonts w:ascii="Cambria" w:hAnsi="Cambria"/>
          <w:lang w:val="en-US"/>
        </w:rPr>
      </w:pPr>
    </w:p>
    <w:p w:rsidR="002A3EB8" w:rsidRPr="002A3EB8" w:rsidRDefault="002A3EB8" w:rsidP="002A3EB8">
      <w:pPr>
        <w:pStyle w:val="ListParagraph"/>
        <w:numPr>
          <w:ilvl w:val="0"/>
          <w:numId w:val="5"/>
        </w:numPr>
        <w:spacing w:after="0"/>
        <w:ind w:left="2340"/>
        <w:jc w:val="both"/>
        <w:rPr>
          <w:rFonts w:ascii="Cambria" w:hAnsi="Cambria"/>
          <w:lang w:val="en-US"/>
        </w:rPr>
      </w:pPr>
      <w:r w:rsidRPr="002A3EB8">
        <w:rPr>
          <w:rFonts w:ascii="Cambria" w:hAnsi="Cambria"/>
          <w:lang w:val="en-US"/>
        </w:rPr>
        <w:t>Value of New Business (VONB) for the financial year 1 April 2020 to 31 March 2021 (FY2020-21);</w:t>
      </w:r>
    </w:p>
    <w:p w:rsidR="002A3EB8" w:rsidRPr="002A3EB8" w:rsidRDefault="002A3EB8" w:rsidP="002A3EB8">
      <w:pPr>
        <w:spacing w:after="0"/>
        <w:ind w:left="2340"/>
        <w:jc w:val="both"/>
        <w:rPr>
          <w:rFonts w:ascii="Cambria" w:hAnsi="Cambria"/>
          <w:lang w:val="en-US"/>
        </w:rPr>
      </w:pPr>
    </w:p>
    <w:p w:rsidR="002A3EB8" w:rsidRPr="002A3EB8" w:rsidRDefault="002A3EB8" w:rsidP="002A3EB8">
      <w:pPr>
        <w:pStyle w:val="ListParagraph"/>
        <w:numPr>
          <w:ilvl w:val="0"/>
          <w:numId w:val="5"/>
        </w:numPr>
        <w:spacing w:after="0"/>
        <w:ind w:left="2340"/>
        <w:jc w:val="both"/>
        <w:rPr>
          <w:rFonts w:ascii="Cambria" w:hAnsi="Cambria"/>
          <w:lang w:val="en-US"/>
        </w:rPr>
      </w:pPr>
      <w:r w:rsidRPr="002A3EB8">
        <w:rPr>
          <w:rFonts w:ascii="Cambria" w:hAnsi="Cambria"/>
          <w:lang w:val="en-US"/>
        </w:rPr>
        <w:t>Sensitivity results for IEV as at 31 March 2021 and VONB for FY2020-21 as required by APS 10; and</w:t>
      </w:r>
    </w:p>
    <w:p w:rsidR="002A3EB8" w:rsidRPr="002A3EB8" w:rsidRDefault="002A3EB8" w:rsidP="002A3EB8">
      <w:pPr>
        <w:spacing w:after="0"/>
        <w:ind w:left="2340"/>
        <w:jc w:val="both"/>
        <w:rPr>
          <w:rFonts w:ascii="Cambria" w:hAnsi="Cambria"/>
          <w:lang w:val="en-US"/>
        </w:rPr>
      </w:pPr>
    </w:p>
    <w:p w:rsidR="002A3EB8" w:rsidRPr="002A3EB8" w:rsidRDefault="002A3EB8" w:rsidP="002A3EB8">
      <w:pPr>
        <w:pStyle w:val="ListParagraph"/>
        <w:numPr>
          <w:ilvl w:val="0"/>
          <w:numId w:val="5"/>
        </w:numPr>
        <w:spacing w:after="0"/>
        <w:ind w:left="2340"/>
        <w:jc w:val="both"/>
        <w:rPr>
          <w:rFonts w:ascii="Cambria" w:hAnsi="Cambria"/>
          <w:lang w:val="en-US"/>
        </w:rPr>
      </w:pPr>
      <w:r w:rsidRPr="002A3EB8">
        <w:rPr>
          <w:rFonts w:ascii="Cambria" w:hAnsi="Cambria"/>
          <w:lang w:val="en-US"/>
        </w:rPr>
        <w:t>Analysis of movement in IEV for FY2020-21.</w:t>
      </w:r>
    </w:p>
    <w:p w:rsidR="002A3EB8" w:rsidRPr="002A3EB8" w:rsidRDefault="002A3EB8" w:rsidP="002A3EB8">
      <w:pPr>
        <w:spacing w:after="0"/>
        <w:jc w:val="both"/>
        <w:rPr>
          <w:rFonts w:ascii="Cambria" w:hAnsi="Cambria"/>
          <w:lang w:val="en-US"/>
        </w:rPr>
      </w:pPr>
    </w:p>
    <w:p w:rsidR="002A3EB8" w:rsidRDefault="002A3EB8" w:rsidP="002A3EB8">
      <w:pPr>
        <w:spacing w:after="0"/>
        <w:ind w:left="1980"/>
        <w:jc w:val="both"/>
        <w:rPr>
          <w:rFonts w:ascii="Cambria" w:hAnsi="Cambria"/>
          <w:lang w:val="en-US"/>
        </w:rPr>
      </w:pPr>
      <w:r w:rsidRPr="002A3EB8">
        <w:rPr>
          <w:rFonts w:ascii="Cambria" w:hAnsi="Cambria"/>
          <w:lang w:val="en-US"/>
        </w:rPr>
        <w:t>*Note: All dates are tentative and subject to modification by DIPAM.</w:t>
      </w:r>
    </w:p>
    <w:p w:rsidR="002A3EB8" w:rsidRPr="002A3EB8" w:rsidRDefault="002A3EB8" w:rsidP="002A3EB8">
      <w:pPr>
        <w:spacing w:after="0"/>
        <w:jc w:val="both"/>
        <w:rPr>
          <w:rFonts w:ascii="Cambria" w:hAnsi="Cambria"/>
          <w:lang w:val="en-US"/>
        </w:rPr>
      </w:pPr>
    </w:p>
    <w:p w:rsidR="002A3EB8" w:rsidRPr="002A3EB8" w:rsidRDefault="002A3EB8" w:rsidP="002A3EB8">
      <w:pPr>
        <w:pStyle w:val="ListParagraph"/>
        <w:numPr>
          <w:ilvl w:val="0"/>
          <w:numId w:val="3"/>
        </w:numPr>
        <w:spacing w:after="0"/>
        <w:jc w:val="both"/>
        <w:rPr>
          <w:rFonts w:ascii="Cambria" w:hAnsi="Cambria"/>
          <w:lang w:val="en-US"/>
        </w:rPr>
      </w:pPr>
      <w:r w:rsidRPr="002A3EB8">
        <w:rPr>
          <w:rFonts w:ascii="Cambria" w:hAnsi="Cambria"/>
          <w:lang w:val="en-US"/>
        </w:rPr>
        <w:t>The various areas of methodology include;</w:t>
      </w:r>
    </w:p>
    <w:p w:rsidR="002A3EB8" w:rsidRPr="002A3EB8" w:rsidRDefault="002A3EB8" w:rsidP="002A3EB8">
      <w:pPr>
        <w:pStyle w:val="ListParagraph"/>
        <w:numPr>
          <w:ilvl w:val="0"/>
          <w:numId w:val="6"/>
        </w:numPr>
        <w:spacing w:after="0"/>
        <w:ind w:left="1710"/>
        <w:jc w:val="both"/>
        <w:rPr>
          <w:rFonts w:ascii="Cambria" w:hAnsi="Cambria"/>
          <w:lang w:val="en-US"/>
        </w:rPr>
      </w:pPr>
      <w:r w:rsidRPr="002A3EB8">
        <w:rPr>
          <w:rFonts w:ascii="Cambria" w:hAnsi="Cambria"/>
          <w:lang w:val="en-US"/>
        </w:rPr>
        <w:t>the Adjusted Net Worth (‘ANW’) comprising Free Assets (‘FA’) and Required Capital (‘RC’);</w:t>
      </w:r>
    </w:p>
    <w:p w:rsidR="002A3EB8" w:rsidRPr="002A3EB8" w:rsidRDefault="002A3EB8" w:rsidP="002A3EB8">
      <w:pPr>
        <w:spacing w:after="0"/>
        <w:ind w:left="1710"/>
        <w:jc w:val="both"/>
        <w:rPr>
          <w:rFonts w:ascii="Cambria" w:hAnsi="Cambria"/>
          <w:lang w:val="en-US"/>
        </w:rPr>
      </w:pPr>
    </w:p>
    <w:p w:rsidR="002A3EB8" w:rsidRPr="002A3EB8" w:rsidRDefault="002A3EB8" w:rsidP="002A3EB8">
      <w:pPr>
        <w:pStyle w:val="ListParagraph"/>
        <w:numPr>
          <w:ilvl w:val="0"/>
          <w:numId w:val="6"/>
        </w:numPr>
        <w:spacing w:after="0"/>
        <w:ind w:left="1710"/>
        <w:jc w:val="both"/>
        <w:rPr>
          <w:rFonts w:ascii="Cambria" w:hAnsi="Cambria"/>
          <w:lang w:val="en-US"/>
        </w:rPr>
      </w:pPr>
      <w:r w:rsidRPr="002A3EB8">
        <w:rPr>
          <w:rFonts w:ascii="Cambria" w:hAnsi="Cambria"/>
          <w:lang w:val="en-US"/>
        </w:rPr>
        <w:t>the components of the Value of In-force Business (‘VIF’), viz. the Present Value of Future Profits (‘PVFP’), the Cost of Residual Non-</w:t>
      </w:r>
      <w:proofErr w:type="spellStart"/>
      <w:r>
        <w:rPr>
          <w:rFonts w:ascii="Cambria" w:hAnsi="Cambria"/>
          <w:lang w:val="en-US"/>
        </w:rPr>
        <w:t>Hedge</w:t>
      </w:r>
      <w:r w:rsidRPr="002A3EB8">
        <w:rPr>
          <w:rFonts w:ascii="Cambria" w:hAnsi="Cambria"/>
          <w:lang w:val="en-US"/>
        </w:rPr>
        <w:t>able</w:t>
      </w:r>
      <w:proofErr w:type="spellEnd"/>
      <w:r w:rsidRPr="002A3EB8">
        <w:rPr>
          <w:rFonts w:ascii="Cambria" w:hAnsi="Cambria"/>
          <w:lang w:val="en-US"/>
        </w:rPr>
        <w:t xml:space="preserve"> Risks (‘CRNHR’), the Time Value of Financial Options and Guarantees (‘TVFOG’), and the Frictional Costs (‘FC’);</w:t>
      </w:r>
    </w:p>
    <w:p w:rsidR="002A3EB8" w:rsidRPr="002A3EB8" w:rsidRDefault="002A3EB8" w:rsidP="002A3EB8">
      <w:pPr>
        <w:spacing w:after="0"/>
        <w:ind w:left="1710"/>
        <w:jc w:val="both"/>
        <w:rPr>
          <w:rFonts w:ascii="Cambria" w:hAnsi="Cambria"/>
          <w:lang w:val="en-US"/>
        </w:rPr>
      </w:pPr>
    </w:p>
    <w:p w:rsidR="002A3EB8" w:rsidRDefault="002A3EB8" w:rsidP="002A3EB8">
      <w:pPr>
        <w:pStyle w:val="ListParagraph"/>
        <w:numPr>
          <w:ilvl w:val="0"/>
          <w:numId w:val="6"/>
        </w:numPr>
        <w:spacing w:after="0"/>
        <w:ind w:left="1710"/>
        <w:jc w:val="both"/>
        <w:rPr>
          <w:rFonts w:ascii="Cambria" w:hAnsi="Cambria"/>
          <w:lang w:val="en-US"/>
        </w:rPr>
      </w:pPr>
      <w:r w:rsidRPr="002A3EB8">
        <w:rPr>
          <w:rFonts w:ascii="Cambria" w:hAnsi="Cambria"/>
          <w:lang w:val="en-US"/>
        </w:rPr>
        <w:t>the contribution to PVFP from various ‘global reserves’ and</w:t>
      </w:r>
    </w:p>
    <w:p w:rsidR="002A3EB8" w:rsidRPr="002A3EB8" w:rsidRDefault="002A3EB8" w:rsidP="002A3EB8">
      <w:pPr>
        <w:pStyle w:val="ListParagraph"/>
        <w:spacing w:after="0"/>
        <w:ind w:left="1710"/>
        <w:jc w:val="both"/>
        <w:rPr>
          <w:rFonts w:ascii="Cambria" w:hAnsi="Cambria"/>
          <w:lang w:val="en-US"/>
        </w:rPr>
      </w:pPr>
    </w:p>
    <w:p w:rsidR="002A3EB8" w:rsidRPr="002A3EB8" w:rsidRDefault="002A3EB8" w:rsidP="002A3EB8">
      <w:pPr>
        <w:pStyle w:val="ListParagraph"/>
        <w:numPr>
          <w:ilvl w:val="0"/>
          <w:numId w:val="6"/>
        </w:numPr>
        <w:spacing w:after="0"/>
        <w:ind w:left="1710"/>
        <w:jc w:val="both"/>
        <w:rPr>
          <w:rFonts w:ascii="Cambria" w:hAnsi="Cambria"/>
          <w:lang w:val="en-US"/>
        </w:rPr>
      </w:pPr>
      <w:r w:rsidRPr="002A3EB8">
        <w:rPr>
          <w:rFonts w:ascii="Cambria" w:hAnsi="Cambria"/>
          <w:lang w:val="en-US"/>
        </w:rPr>
        <w:t>‘discontinuance fund’ held, if any;</w:t>
      </w:r>
    </w:p>
    <w:p w:rsidR="002A3EB8" w:rsidRPr="002A3EB8" w:rsidRDefault="002A3EB8" w:rsidP="002A3EB8">
      <w:pPr>
        <w:spacing w:after="0"/>
        <w:ind w:left="1710"/>
        <w:jc w:val="both"/>
        <w:rPr>
          <w:rFonts w:ascii="Cambria" w:hAnsi="Cambria"/>
          <w:lang w:val="en-US"/>
        </w:rPr>
      </w:pPr>
    </w:p>
    <w:p w:rsidR="002A3EB8" w:rsidRPr="002A3EB8" w:rsidRDefault="002A3EB8" w:rsidP="002A3EB8">
      <w:pPr>
        <w:pStyle w:val="ListParagraph"/>
        <w:numPr>
          <w:ilvl w:val="0"/>
          <w:numId w:val="6"/>
        </w:numPr>
        <w:spacing w:after="0"/>
        <w:ind w:left="1710"/>
        <w:jc w:val="both"/>
        <w:rPr>
          <w:rFonts w:ascii="Cambria" w:hAnsi="Cambria"/>
          <w:lang w:val="en-US"/>
        </w:rPr>
      </w:pPr>
      <w:r w:rsidRPr="002A3EB8">
        <w:rPr>
          <w:rFonts w:ascii="Cambria" w:hAnsi="Cambria"/>
          <w:lang w:val="en-US"/>
        </w:rPr>
        <w:t>the adjustments in respect of Funds for Future Appropriation (‘FFA’) (if</w:t>
      </w:r>
      <w:r>
        <w:rPr>
          <w:rFonts w:ascii="Cambria" w:hAnsi="Cambria"/>
          <w:lang w:val="en-US"/>
        </w:rPr>
        <w:t xml:space="preserve"> </w:t>
      </w:r>
      <w:r w:rsidRPr="002A3EB8">
        <w:rPr>
          <w:rFonts w:ascii="Cambria" w:hAnsi="Cambria"/>
          <w:lang w:val="en-US"/>
        </w:rPr>
        <w:t>any);</w:t>
      </w:r>
    </w:p>
    <w:p w:rsidR="002A3EB8" w:rsidRPr="002A3EB8" w:rsidRDefault="002A3EB8" w:rsidP="002A3EB8">
      <w:pPr>
        <w:spacing w:after="0"/>
        <w:ind w:left="1710"/>
        <w:jc w:val="both"/>
        <w:rPr>
          <w:rFonts w:ascii="Cambria" w:hAnsi="Cambria"/>
          <w:lang w:val="en-US"/>
        </w:rPr>
      </w:pPr>
    </w:p>
    <w:p w:rsidR="002A3EB8" w:rsidRPr="002A3EB8" w:rsidRDefault="002A3EB8" w:rsidP="002A3EB8">
      <w:pPr>
        <w:pStyle w:val="ListParagraph"/>
        <w:numPr>
          <w:ilvl w:val="0"/>
          <w:numId w:val="6"/>
        </w:numPr>
        <w:spacing w:after="0"/>
        <w:ind w:left="1710"/>
        <w:jc w:val="both"/>
        <w:rPr>
          <w:rFonts w:ascii="Cambria" w:hAnsi="Cambria"/>
          <w:lang w:val="en-US"/>
        </w:rPr>
      </w:pPr>
      <w:r w:rsidRPr="002A3EB8">
        <w:rPr>
          <w:rFonts w:ascii="Cambria" w:hAnsi="Cambria"/>
          <w:lang w:val="en-US"/>
        </w:rPr>
        <w:t>the adjustments, if any, arising due to commission savings in respect of</w:t>
      </w:r>
      <w:r>
        <w:rPr>
          <w:rFonts w:ascii="Cambria" w:hAnsi="Cambria"/>
          <w:lang w:val="en-US"/>
        </w:rPr>
        <w:t xml:space="preserve"> </w:t>
      </w:r>
      <w:r w:rsidRPr="002A3EB8">
        <w:rPr>
          <w:rFonts w:ascii="Cambria" w:hAnsi="Cambria"/>
          <w:lang w:val="en-US"/>
        </w:rPr>
        <w:t>orphan policies; and</w:t>
      </w:r>
    </w:p>
    <w:p w:rsidR="002A3EB8" w:rsidRPr="002A3EB8" w:rsidRDefault="002A3EB8" w:rsidP="002A3EB8">
      <w:pPr>
        <w:spacing w:after="0"/>
        <w:ind w:left="1710"/>
        <w:jc w:val="both"/>
        <w:rPr>
          <w:rFonts w:ascii="Cambria" w:hAnsi="Cambria"/>
          <w:lang w:val="en-US"/>
        </w:rPr>
      </w:pPr>
    </w:p>
    <w:p w:rsidR="002A3EB8" w:rsidRPr="002A3EB8" w:rsidRDefault="002A3EB8" w:rsidP="002A3EB8">
      <w:pPr>
        <w:pStyle w:val="ListParagraph"/>
        <w:numPr>
          <w:ilvl w:val="0"/>
          <w:numId w:val="6"/>
        </w:numPr>
        <w:spacing w:after="0"/>
        <w:ind w:left="1710"/>
        <w:jc w:val="both"/>
        <w:rPr>
          <w:rFonts w:ascii="Cambria" w:hAnsi="Cambria"/>
          <w:lang w:val="en-US"/>
        </w:rPr>
      </w:pPr>
      <w:r w:rsidRPr="002A3EB8">
        <w:rPr>
          <w:rFonts w:ascii="Cambria" w:hAnsi="Cambria"/>
          <w:lang w:val="en-US"/>
        </w:rPr>
        <w:t>Other analysis as required while working on the above activities.</w:t>
      </w:r>
    </w:p>
    <w:p w:rsidR="002A3EB8" w:rsidRPr="002A3EB8" w:rsidRDefault="002A3EB8" w:rsidP="002A3EB8">
      <w:pPr>
        <w:spacing w:after="0"/>
        <w:jc w:val="both"/>
        <w:rPr>
          <w:rFonts w:ascii="Cambria" w:hAnsi="Cambria"/>
          <w:lang w:val="en-US"/>
        </w:rPr>
      </w:pPr>
    </w:p>
    <w:p w:rsidR="002A3EB8" w:rsidRDefault="002A3EB8" w:rsidP="00E21F86">
      <w:pPr>
        <w:spacing w:after="0"/>
        <w:ind w:left="720" w:hanging="720"/>
        <w:jc w:val="both"/>
        <w:rPr>
          <w:rFonts w:ascii="Cambria" w:hAnsi="Cambria"/>
          <w:b/>
          <w:lang w:val="en-US"/>
        </w:rPr>
      </w:pPr>
      <w:r w:rsidRPr="00E21F86">
        <w:rPr>
          <w:rFonts w:ascii="Cambria" w:hAnsi="Cambria"/>
          <w:b/>
          <w:lang w:val="en-US"/>
        </w:rPr>
        <w:t xml:space="preserve">4.2 </w:t>
      </w:r>
      <w:r w:rsidR="00E21F86">
        <w:rPr>
          <w:rFonts w:ascii="Cambria" w:hAnsi="Cambria"/>
          <w:b/>
          <w:lang w:val="en-US"/>
        </w:rPr>
        <w:tab/>
      </w:r>
      <w:r w:rsidRPr="00E21F86">
        <w:rPr>
          <w:rFonts w:ascii="Cambria" w:hAnsi="Cambria"/>
          <w:b/>
          <w:lang w:val="en-US"/>
        </w:rPr>
        <w:t>The Actuarial Firm shall have to review the various operating experience studies of LICI and accordingly, set suitable assumptions to be used in the calculations of IEV in discussion with the appointed actuaries / management of LICI:</w:t>
      </w:r>
    </w:p>
    <w:p w:rsidR="00E21F86" w:rsidRPr="00E21F86" w:rsidRDefault="00E21F86" w:rsidP="00E21F86">
      <w:pPr>
        <w:spacing w:after="0"/>
        <w:ind w:left="720" w:hanging="720"/>
        <w:jc w:val="both"/>
        <w:rPr>
          <w:rFonts w:ascii="Cambria" w:hAnsi="Cambria"/>
          <w:b/>
          <w:lang w:val="en-US"/>
        </w:rPr>
      </w:pPr>
    </w:p>
    <w:p w:rsidR="002A3EB8" w:rsidRDefault="002A3EB8" w:rsidP="00E21F86">
      <w:pPr>
        <w:pStyle w:val="ListParagraph"/>
        <w:numPr>
          <w:ilvl w:val="0"/>
          <w:numId w:val="7"/>
        </w:numPr>
        <w:spacing w:after="0"/>
        <w:ind w:left="1350"/>
        <w:jc w:val="both"/>
        <w:rPr>
          <w:rFonts w:ascii="Cambria" w:hAnsi="Cambria"/>
          <w:lang w:val="en-US"/>
        </w:rPr>
      </w:pPr>
      <w:r w:rsidRPr="00E21F86">
        <w:rPr>
          <w:rFonts w:ascii="Cambria" w:hAnsi="Cambria"/>
          <w:lang w:val="en-US"/>
        </w:rPr>
        <w:t>Review models used by LICI for the cash flow projections.</w:t>
      </w:r>
    </w:p>
    <w:p w:rsidR="002A3EB8" w:rsidRDefault="002A3EB8" w:rsidP="00E21F86">
      <w:pPr>
        <w:pStyle w:val="ListParagraph"/>
        <w:numPr>
          <w:ilvl w:val="0"/>
          <w:numId w:val="7"/>
        </w:numPr>
        <w:spacing w:after="0"/>
        <w:ind w:left="1350"/>
        <w:jc w:val="both"/>
        <w:rPr>
          <w:rFonts w:ascii="Cambria" w:hAnsi="Cambria"/>
          <w:lang w:val="en-US"/>
        </w:rPr>
      </w:pPr>
      <w:r w:rsidRPr="00E21F86">
        <w:rPr>
          <w:rFonts w:ascii="Cambria" w:hAnsi="Cambria"/>
          <w:lang w:val="en-US"/>
        </w:rPr>
        <w:t>Independently develop models to validate the outputs generated by LICI models.</w:t>
      </w:r>
    </w:p>
    <w:p w:rsidR="002A3EB8" w:rsidRDefault="002A3EB8" w:rsidP="00E21F86">
      <w:pPr>
        <w:pStyle w:val="ListParagraph"/>
        <w:numPr>
          <w:ilvl w:val="0"/>
          <w:numId w:val="7"/>
        </w:numPr>
        <w:spacing w:after="0"/>
        <w:ind w:left="1350"/>
        <w:jc w:val="both"/>
        <w:rPr>
          <w:rFonts w:ascii="Cambria" w:hAnsi="Cambria"/>
          <w:lang w:val="en-US"/>
        </w:rPr>
      </w:pPr>
      <w:r w:rsidRPr="00E21F86">
        <w:rPr>
          <w:rFonts w:ascii="Cambria" w:hAnsi="Cambria"/>
          <w:lang w:val="en-US"/>
        </w:rPr>
        <w:t>Prepare the Actuarial Practice Standard 10 (APS10) Report: The Actuarial Firm is expected to develop and issue the APS10 Report to the Board of Directors of LICI for inclusion in the listing documents.</w:t>
      </w:r>
    </w:p>
    <w:p w:rsidR="002A3EB8" w:rsidRDefault="002A3EB8" w:rsidP="00E21F86">
      <w:pPr>
        <w:pStyle w:val="ListParagraph"/>
        <w:numPr>
          <w:ilvl w:val="0"/>
          <w:numId w:val="7"/>
        </w:numPr>
        <w:spacing w:after="0"/>
        <w:ind w:left="1350"/>
        <w:jc w:val="both"/>
        <w:rPr>
          <w:rFonts w:ascii="Cambria" w:hAnsi="Cambria"/>
          <w:lang w:val="en-US"/>
        </w:rPr>
      </w:pPr>
      <w:r w:rsidRPr="00E21F86">
        <w:rPr>
          <w:rFonts w:ascii="Cambria" w:hAnsi="Cambria"/>
          <w:lang w:val="en-US"/>
        </w:rPr>
        <w:t>Selected Bidder may be required to prepare a supplementary Embedded Value Report depending on the launch date of the IPO.</w:t>
      </w:r>
    </w:p>
    <w:p w:rsidR="00E21F86" w:rsidRPr="00E21F86" w:rsidRDefault="00E21F86" w:rsidP="00E21F86">
      <w:pPr>
        <w:pStyle w:val="ListParagraph"/>
        <w:spacing w:after="0"/>
        <w:ind w:left="1350"/>
        <w:jc w:val="both"/>
        <w:rPr>
          <w:rFonts w:ascii="Cambria" w:hAnsi="Cambria"/>
          <w:lang w:val="en-US"/>
        </w:rPr>
      </w:pPr>
    </w:p>
    <w:p w:rsidR="002A3EB8" w:rsidRDefault="002A3EB8" w:rsidP="00E21F86">
      <w:pPr>
        <w:spacing w:after="0"/>
        <w:ind w:left="720" w:hanging="720"/>
        <w:jc w:val="both"/>
        <w:rPr>
          <w:rFonts w:ascii="Cambria" w:hAnsi="Cambria"/>
          <w:b/>
          <w:lang w:val="en-US"/>
        </w:rPr>
      </w:pPr>
      <w:r w:rsidRPr="00E21F86">
        <w:rPr>
          <w:rFonts w:ascii="Cambria" w:hAnsi="Cambria"/>
          <w:b/>
          <w:lang w:val="en-US"/>
        </w:rPr>
        <w:t xml:space="preserve">4.3 </w:t>
      </w:r>
      <w:r w:rsidR="00E21F86">
        <w:rPr>
          <w:rFonts w:ascii="Cambria" w:hAnsi="Cambria"/>
          <w:b/>
          <w:lang w:val="en-US"/>
        </w:rPr>
        <w:tab/>
      </w:r>
      <w:r w:rsidRPr="00E21F86">
        <w:rPr>
          <w:rFonts w:ascii="Cambria" w:hAnsi="Cambria"/>
          <w:b/>
          <w:lang w:val="en-US"/>
        </w:rPr>
        <w:t>Apart from the tasks set out above, there will be other areas where the Actuarial Firm is required to provide support. These include:</w:t>
      </w:r>
    </w:p>
    <w:p w:rsidR="00E21F86" w:rsidRPr="00E21F86" w:rsidRDefault="00E21F86" w:rsidP="00E21F86">
      <w:pPr>
        <w:spacing w:after="0"/>
        <w:ind w:left="720" w:hanging="720"/>
        <w:jc w:val="both"/>
        <w:rPr>
          <w:rFonts w:ascii="Cambria" w:hAnsi="Cambria"/>
          <w:b/>
          <w:lang w:val="en-US"/>
        </w:rPr>
      </w:pPr>
    </w:p>
    <w:p w:rsidR="002A3EB8" w:rsidRDefault="002A3EB8" w:rsidP="00E21F86">
      <w:pPr>
        <w:pStyle w:val="ListParagraph"/>
        <w:numPr>
          <w:ilvl w:val="0"/>
          <w:numId w:val="9"/>
        </w:numPr>
        <w:spacing w:after="0"/>
        <w:ind w:left="1350"/>
        <w:jc w:val="both"/>
        <w:rPr>
          <w:rFonts w:ascii="Cambria" w:hAnsi="Cambria"/>
          <w:lang w:val="en-US"/>
        </w:rPr>
      </w:pPr>
      <w:r w:rsidRPr="00E21F86">
        <w:rPr>
          <w:rFonts w:ascii="Cambria" w:hAnsi="Cambria"/>
          <w:lang w:val="en-US"/>
        </w:rPr>
        <w:t>interacting with different advisors and stakeholders (e.g. bankers, lawyers, and auditors) as well as with IRDAI, SEBI etc. as may be required;</w:t>
      </w:r>
    </w:p>
    <w:p w:rsidR="00E21F86" w:rsidRPr="00E21F86" w:rsidRDefault="00E21F86" w:rsidP="00E21F86">
      <w:pPr>
        <w:pStyle w:val="ListParagraph"/>
        <w:spacing w:after="0"/>
        <w:ind w:left="1350"/>
        <w:jc w:val="both"/>
        <w:rPr>
          <w:rFonts w:ascii="Cambria" w:hAnsi="Cambria"/>
          <w:lang w:val="en-US"/>
        </w:rPr>
      </w:pPr>
    </w:p>
    <w:p w:rsidR="002A3EB8" w:rsidRDefault="002A3EB8" w:rsidP="00E21F86">
      <w:pPr>
        <w:pStyle w:val="ListParagraph"/>
        <w:numPr>
          <w:ilvl w:val="0"/>
          <w:numId w:val="9"/>
        </w:numPr>
        <w:spacing w:after="0"/>
        <w:ind w:left="1350"/>
        <w:jc w:val="both"/>
        <w:rPr>
          <w:rFonts w:ascii="Cambria" w:hAnsi="Cambria"/>
          <w:lang w:val="en-US"/>
        </w:rPr>
      </w:pPr>
      <w:r w:rsidRPr="00E21F86">
        <w:rPr>
          <w:rFonts w:ascii="Cambria" w:hAnsi="Cambria"/>
          <w:lang w:val="en-US"/>
        </w:rPr>
        <w:t>specifying the ‘scope’ of the data audit (as required under APS10 and IRDAI (Issuance of Capital by Indian Insurance Companies Transacting Life Insurance Business) Regulations, 2015) to be performed by the auditor and reviewing the output of the data audit report developed by the auditor;</w:t>
      </w:r>
    </w:p>
    <w:p w:rsidR="00E21F86" w:rsidRPr="00E21F86" w:rsidRDefault="00E21F86" w:rsidP="00E21F86">
      <w:pPr>
        <w:pStyle w:val="ListParagraph"/>
        <w:spacing w:after="0"/>
        <w:ind w:left="1350"/>
        <w:jc w:val="both"/>
        <w:rPr>
          <w:rFonts w:ascii="Cambria" w:hAnsi="Cambria"/>
          <w:lang w:val="en-US"/>
        </w:rPr>
      </w:pPr>
    </w:p>
    <w:p w:rsidR="002A3EB8" w:rsidRDefault="002A3EB8" w:rsidP="00E21F86">
      <w:pPr>
        <w:pStyle w:val="ListParagraph"/>
        <w:numPr>
          <w:ilvl w:val="0"/>
          <w:numId w:val="9"/>
        </w:numPr>
        <w:spacing w:after="0"/>
        <w:ind w:left="1350"/>
        <w:jc w:val="both"/>
        <w:rPr>
          <w:rFonts w:ascii="Cambria" w:hAnsi="Cambria"/>
          <w:lang w:val="en-US"/>
        </w:rPr>
      </w:pPr>
      <w:r w:rsidRPr="00E21F86">
        <w:rPr>
          <w:rFonts w:ascii="Cambria" w:hAnsi="Cambria"/>
          <w:lang w:val="en-US"/>
        </w:rPr>
        <w:t>reviewing iterations of the Final Results and reflecting changes in the APS10 Report based on inputs and feedback from different stakeholders, including bankers, regulators (IRDAI or SEBI); and</w:t>
      </w:r>
    </w:p>
    <w:p w:rsidR="00E21F86" w:rsidRPr="00E21F86" w:rsidRDefault="00E21F86" w:rsidP="00E21F86">
      <w:pPr>
        <w:pStyle w:val="ListParagraph"/>
        <w:spacing w:after="0"/>
        <w:ind w:left="1350"/>
        <w:jc w:val="both"/>
        <w:rPr>
          <w:rFonts w:ascii="Cambria" w:hAnsi="Cambria"/>
          <w:lang w:val="en-US"/>
        </w:rPr>
      </w:pPr>
    </w:p>
    <w:p w:rsidR="002A3EB8" w:rsidRDefault="002A3EB8" w:rsidP="00E21F86">
      <w:pPr>
        <w:pStyle w:val="ListParagraph"/>
        <w:numPr>
          <w:ilvl w:val="0"/>
          <w:numId w:val="9"/>
        </w:numPr>
        <w:spacing w:after="0"/>
        <w:ind w:left="1350"/>
        <w:jc w:val="both"/>
        <w:rPr>
          <w:rFonts w:ascii="Cambria" w:hAnsi="Cambria"/>
          <w:lang w:val="en-US"/>
        </w:rPr>
      </w:pPr>
      <w:proofErr w:type="gramStart"/>
      <w:r w:rsidRPr="00E21F86">
        <w:rPr>
          <w:rFonts w:ascii="Cambria" w:hAnsi="Cambria"/>
          <w:lang w:val="en-US"/>
        </w:rPr>
        <w:t>providing</w:t>
      </w:r>
      <w:proofErr w:type="gramEnd"/>
      <w:r w:rsidRPr="00E21F86">
        <w:rPr>
          <w:rFonts w:ascii="Cambria" w:hAnsi="Cambria"/>
          <w:lang w:val="en-US"/>
        </w:rPr>
        <w:t xml:space="preserve"> inputs into/ reviewing relevant sections of the IPO offer</w:t>
      </w:r>
      <w:r w:rsidR="00E21F86" w:rsidRPr="00E21F86">
        <w:rPr>
          <w:rFonts w:ascii="Cambria" w:hAnsi="Cambria"/>
          <w:lang w:val="en-US"/>
        </w:rPr>
        <w:t xml:space="preserve"> </w:t>
      </w:r>
      <w:r w:rsidRPr="00E21F86">
        <w:rPr>
          <w:rFonts w:ascii="Cambria" w:hAnsi="Cambria"/>
          <w:lang w:val="en-US"/>
        </w:rPr>
        <w:t>documents and other related documents/ offer material of the LICI.</w:t>
      </w:r>
    </w:p>
    <w:p w:rsidR="00E21F86" w:rsidRDefault="00E21F86" w:rsidP="00E21F86">
      <w:pPr>
        <w:spacing w:after="0"/>
        <w:jc w:val="both"/>
        <w:rPr>
          <w:rFonts w:ascii="Cambria" w:hAnsi="Cambria"/>
          <w:lang w:val="en-US"/>
        </w:rPr>
      </w:pPr>
    </w:p>
    <w:p w:rsidR="006E62D7" w:rsidRDefault="002A3EB8" w:rsidP="00E21F86">
      <w:pPr>
        <w:spacing w:after="0"/>
        <w:ind w:left="720" w:hanging="720"/>
        <w:jc w:val="both"/>
        <w:rPr>
          <w:rFonts w:ascii="Cambria" w:hAnsi="Cambria"/>
          <w:lang w:val="en-US"/>
        </w:rPr>
      </w:pPr>
      <w:r w:rsidRPr="00E21F86">
        <w:rPr>
          <w:rFonts w:ascii="Cambria" w:hAnsi="Cambria"/>
          <w:b/>
          <w:lang w:val="en-US"/>
        </w:rPr>
        <w:t xml:space="preserve">4.4 </w:t>
      </w:r>
      <w:r w:rsidR="00E21F86">
        <w:rPr>
          <w:rFonts w:ascii="Cambria" w:hAnsi="Cambria"/>
          <w:b/>
          <w:lang w:val="en-US"/>
        </w:rPr>
        <w:tab/>
      </w:r>
      <w:r w:rsidRPr="00E21F86">
        <w:rPr>
          <w:rFonts w:ascii="Cambria" w:hAnsi="Cambria"/>
          <w:b/>
          <w:lang w:val="en-US"/>
        </w:rPr>
        <w:t>The tasks mentioned under the Scope of Work are indicative and non- exhaustive in nature. There may be some services relevant but not expressly captured in the Scope of Work, which upon being as and when brought to the notice of the firm by DIPAM, will also form an integral and mandatory part of the Scope of Work.</w:t>
      </w:r>
      <w:r w:rsidR="005627EE">
        <w:rPr>
          <w:rFonts w:ascii="Cambria" w:hAnsi="Cambria"/>
          <w:lang w:val="en-US"/>
        </w:rPr>
        <w:tab/>
        <w:t xml:space="preserve"> </w:t>
      </w:r>
    </w:p>
    <w:p w:rsidR="00E21F86" w:rsidRPr="00E21F86" w:rsidRDefault="00E21F86" w:rsidP="00E21F86">
      <w:pPr>
        <w:spacing w:after="0"/>
        <w:ind w:left="720" w:hanging="720"/>
        <w:jc w:val="center"/>
        <w:rPr>
          <w:rFonts w:ascii="Cambria" w:hAnsi="Cambria"/>
          <w:color w:val="AEAAAA" w:themeColor="background2" w:themeShade="BF"/>
          <w:lang w:val="en-US"/>
        </w:rPr>
      </w:pPr>
      <w:r>
        <w:rPr>
          <w:rFonts w:ascii="Cambria" w:hAnsi="Cambria"/>
          <w:color w:val="AEAAAA" w:themeColor="background2" w:themeShade="BF"/>
          <w:lang w:val="en-US"/>
        </w:rPr>
        <w:lastRenderedPageBreak/>
        <w:t>*****************End of Annexure******************</w:t>
      </w:r>
    </w:p>
    <w:sectPr w:rsidR="00E21F86" w:rsidRPr="00E21F86" w:rsidSect="0090639D">
      <w:headerReference w:type="default" r:id="rId8"/>
      <w:footerReference w:type="default" r:id="rId9"/>
      <w:pgSz w:w="11906" w:h="16838"/>
      <w:pgMar w:top="1170" w:right="1440" w:bottom="900" w:left="1440" w:header="432" w:footer="708" w:gutter="0"/>
      <w:pgBorders w:offsetFrom="page">
        <w:top w:val="thinThickLargeGap" w:sz="4" w:space="24" w:color="8496B0" w:themeColor="text2" w:themeTint="99"/>
        <w:left w:val="thinThickLargeGap" w:sz="4" w:space="24" w:color="8496B0" w:themeColor="text2" w:themeTint="99"/>
        <w:bottom w:val="thickThinLargeGap" w:sz="4" w:space="24" w:color="8496B0" w:themeColor="text2" w:themeTint="99"/>
        <w:right w:val="thickThinLargeGap" w:sz="4" w:space="24" w:color="8496B0" w:themeColor="text2" w:themeTint="99"/>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7CF" w:rsidRDefault="007E47CF" w:rsidP="0000051E">
      <w:pPr>
        <w:spacing w:after="0" w:line="240" w:lineRule="auto"/>
      </w:pPr>
      <w:r>
        <w:separator/>
      </w:r>
    </w:p>
  </w:endnote>
  <w:endnote w:type="continuationSeparator" w:id="0">
    <w:p w:rsidR="007E47CF" w:rsidRDefault="007E47CF" w:rsidP="00000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0877609"/>
      <w:docPartObj>
        <w:docPartGallery w:val="Page Numbers (Bottom of Page)"/>
        <w:docPartUnique/>
      </w:docPartObj>
    </w:sdtPr>
    <w:sdtEndPr/>
    <w:sdtContent>
      <w:sdt>
        <w:sdtPr>
          <w:id w:val="-1769616900"/>
          <w:docPartObj>
            <w:docPartGallery w:val="Page Numbers (Top of Page)"/>
            <w:docPartUnique/>
          </w:docPartObj>
        </w:sdtPr>
        <w:sdtEndPr/>
        <w:sdtContent>
          <w:p w:rsidR="00043B57" w:rsidRDefault="00043B57">
            <w:pPr>
              <w:pStyle w:val="Footer"/>
              <w:jc w:val="right"/>
            </w:pPr>
            <w:r w:rsidRPr="00043B57">
              <w:rPr>
                <w:rFonts w:ascii="Cambria" w:hAnsi="Cambria"/>
                <w:color w:val="0070C0"/>
                <w:sz w:val="20"/>
                <w:szCs w:val="20"/>
              </w:rPr>
              <w:t xml:space="preserve">Page </w:t>
            </w:r>
            <w:r w:rsidR="00BF3A54" w:rsidRPr="00043B57">
              <w:rPr>
                <w:rFonts w:ascii="Cambria" w:hAnsi="Cambria"/>
                <w:b/>
                <w:bCs/>
                <w:color w:val="0070C0"/>
                <w:sz w:val="20"/>
                <w:szCs w:val="20"/>
              </w:rPr>
              <w:fldChar w:fldCharType="begin"/>
            </w:r>
            <w:r w:rsidRPr="00043B57">
              <w:rPr>
                <w:rFonts w:ascii="Cambria" w:hAnsi="Cambria"/>
                <w:b/>
                <w:bCs/>
                <w:color w:val="0070C0"/>
                <w:sz w:val="20"/>
                <w:szCs w:val="20"/>
              </w:rPr>
              <w:instrText xml:space="preserve"> PAGE </w:instrText>
            </w:r>
            <w:r w:rsidR="00BF3A54" w:rsidRPr="00043B57">
              <w:rPr>
                <w:rFonts w:ascii="Cambria" w:hAnsi="Cambria"/>
                <w:b/>
                <w:bCs/>
                <w:color w:val="0070C0"/>
                <w:sz w:val="20"/>
                <w:szCs w:val="20"/>
              </w:rPr>
              <w:fldChar w:fldCharType="separate"/>
            </w:r>
            <w:r w:rsidR="005F0EC6">
              <w:rPr>
                <w:rFonts w:ascii="Cambria" w:hAnsi="Cambria"/>
                <w:b/>
                <w:bCs/>
                <w:noProof/>
                <w:color w:val="0070C0"/>
                <w:sz w:val="20"/>
                <w:szCs w:val="20"/>
              </w:rPr>
              <w:t>1</w:t>
            </w:r>
            <w:r w:rsidR="00BF3A54" w:rsidRPr="00043B57">
              <w:rPr>
                <w:rFonts w:ascii="Cambria" w:hAnsi="Cambria"/>
                <w:b/>
                <w:bCs/>
                <w:color w:val="0070C0"/>
                <w:sz w:val="20"/>
                <w:szCs w:val="20"/>
              </w:rPr>
              <w:fldChar w:fldCharType="end"/>
            </w:r>
            <w:r w:rsidRPr="00043B57">
              <w:rPr>
                <w:rFonts w:ascii="Cambria" w:hAnsi="Cambria"/>
                <w:color w:val="0070C0"/>
                <w:sz w:val="20"/>
                <w:szCs w:val="20"/>
              </w:rPr>
              <w:t xml:space="preserve"> of </w:t>
            </w:r>
            <w:r w:rsidR="00BF3A54" w:rsidRPr="00043B57">
              <w:rPr>
                <w:rFonts w:ascii="Cambria" w:hAnsi="Cambria"/>
                <w:b/>
                <w:bCs/>
                <w:color w:val="0070C0"/>
                <w:sz w:val="20"/>
                <w:szCs w:val="20"/>
              </w:rPr>
              <w:fldChar w:fldCharType="begin"/>
            </w:r>
            <w:r w:rsidRPr="00043B57">
              <w:rPr>
                <w:rFonts w:ascii="Cambria" w:hAnsi="Cambria"/>
                <w:b/>
                <w:bCs/>
                <w:color w:val="0070C0"/>
                <w:sz w:val="20"/>
                <w:szCs w:val="20"/>
              </w:rPr>
              <w:instrText xml:space="preserve"> NUMPAGES  </w:instrText>
            </w:r>
            <w:r w:rsidR="00BF3A54" w:rsidRPr="00043B57">
              <w:rPr>
                <w:rFonts w:ascii="Cambria" w:hAnsi="Cambria"/>
                <w:b/>
                <w:bCs/>
                <w:color w:val="0070C0"/>
                <w:sz w:val="20"/>
                <w:szCs w:val="20"/>
              </w:rPr>
              <w:fldChar w:fldCharType="separate"/>
            </w:r>
            <w:r w:rsidR="005F0EC6">
              <w:rPr>
                <w:rFonts w:ascii="Cambria" w:hAnsi="Cambria"/>
                <w:b/>
                <w:bCs/>
                <w:noProof/>
                <w:color w:val="0070C0"/>
                <w:sz w:val="20"/>
                <w:szCs w:val="20"/>
              </w:rPr>
              <w:t>3</w:t>
            </w:r>
            <w:r w:rsidR="00BF3A54" w:rsidRPr="00043B57">
              <w:rPr>
                <w:rFonts w:ascii="Cambria" w:hAnsi="Cambria"/>
                <w:b/>
                <w:bCs/>
                <w:color w:val="0070C0"/>
                <w:sz w:val="20"/>
                <w:szCs w:val="20"/>
              </w:rPr>
              <w:fldChar w:fldCharType="end"/>
            </w:r>
          </w:p>
        </w:sdtContent>
      </w:sdt>
    </w:sdtContent>
  </w:sdt>
  <w:p w:rsidR="00043B57" w:rsidRPr="00043B57" w:rsidRDefault="00043B57" w:rsidP="00043B57">
    <w:pPr>
      <w:pStyle w:val="Footer"/>
      <w:ind w:left="-540"/>
      <w:rPr>
        <w:color w:val="BFBFBF" w:themeColor="background1" w:themeShade="BF"/>
      </w:rPr>
    </w:pPr>
    <w:r w:rsidRPr="00043B57">
      <w:rPr>
        <w:rFonts w:ascii="Cambria" w:hAnsi="Cambria"/>
        <w:b/>
        <w:bCs/>
        <w:color w:val="BFBFBF" w:themeColor="background1" w:themeShade="BF"/>
        <w:lang w:val="en-US"/>
      </w:rPr>
      <w:t>Ref: CO/</w:t>
    </w:r>
    <w:proofErr w:type="spellStart"/>
    <w:r w:rsidRPr="00043B57">
      <w:rPr>
        <w:rFonts w:ascii="Cambria" w:hAnsi="Cambria"/>
        <w:b/>
        <w:bCs/>
        <w:color w:val="BFBFBF" w:themeColor="background1" w:themeShade="BF"/>
        <w:lang w:val="en-US"/>
      </w:rPr>
      <w:t>Actl</w:t>
    </w:r>
    <w:proofErr w:type="spellEnd"/>
    <w:r w:rsidRPr="00043B57">
      <w:rPr>
        <w:rFonts w:ascii="Cambria" w:hAnsi="Cambria"/>
        <w:b/>
        <w:bCs/>
        <w:color w:val="BFBFBF" w:themeColor="background1" w:themeShade="BF"/>
        <w:lang w:val="en-US"/>
      </w:rPr>
      <w:t>/2021/AS-202011/A</w:t>
    </w:r>
    <w:r w:rsidR="0073409E">
      <w:rPr>
        <w:rFonts w:ascii="Cambria" w:hAnsi="Cambria"/>
        <w:b/>
        <w:bCs/>
        <w:color w:val="BFBFBF" w:themeColor="background1" w:themeShade="BF"/>
        <w:lang w:val="en-US"/>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7CF" w:rsidRDefault="007E47CF" w:rsidP="0000051E">
      <w:pPr>
        <w:spacing w:after="0" w:line="240" w:lineRule="auto"/>
      </w:pPr>
      <w:r>
        <w:separator/>
      </w:r>
    </w:p>
  </w:footnote>
  <w:footnote w:type="continuationSeparator" w:id="0">
    <w:p w:rsidR="007E47CF" w:rsidRDefault="007E47CF" w:rsidP="000005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51E" w:rsidRDefault="0000051E" w:rsidP="0000051E">
    <w:pPr>
      <w:tabs>
        <w:tab w:val="left" w:pos="3645"/>
      </w:tabs>
      <w:ind w:left="-567"/>
      <w:jc w:val="center"/>
      <w:rPr>
        <w:rFonts w:ascii="Cambria" w:hAnsi="Cambria"/>
        <w:b/>
        <w:sz w:val="18"/>
      </w:rPr>
    </w:pPr>
  </w:p>
  <w:p w:rsidR="0000051E" w:rsidRPr="0090639D" w:rsidRDefault="0090639D" w:rsidP="0090639D">
    <w:pPr>
      <w:tabs>
        <w:tab w:val="left" w:pos="3645"/>
      </w:tabs>
      <w:ind w:left="-567"/>
      <w:rPr>
        <w:rFonts w:ascii="Cambria" w:hAnsi="Cambria"/>
        <w:b/>
        <w:bCs/>
        <w:color w:val="BFBFBF" w:themeColor="background1" w:themeShade="BF"/>
        <w:sz w:val="18"/>
      </w:rPr>
    </w:pPr>
    <w:r w:rsidRPr="00BF5CE2">
      <w:rPr>
        <w:rFonts w:ascii="Cambria" w:hAnsi="Cambria"/>
        <w:b/>
        <w:bCs/>
        <w:noProof/>
        <w:color w:val="BFBFBF" w:themeColor="background1" w:themeShade="BF"/>
      </w:rPr>
      <w:t>&lt;To be on Bidder’s Letter Head&gt;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66156"/>
    <w:multiLevelType w:val="hybridMultilevel"/>
    <w:tmpl w:val="4C327B30"/>
    <w:lvl w:ilvl="0" w:tplc="088E9FD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8A552FE"/>
    <w:multiLevelType w:val="hybridMultilevel"/>
    <w:tmpl w:val="79CC11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F13CE8"/>
    <w:multiLevelType w:val="hybridMultilevel"/>
    <w:tmpl w:val="5EC08786"/>
    <w:lvl w:ilvl="0" w:tplc="94F28C2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054B20"/>
    <w:multiLevelType w:val="hybridMultilevel"/>
    <w:tmpl w:val="79CC0B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CC5177"/>
    <w:multiLevelType w:val="hybridMultilevel"/>
    <w:tmpl w:val="EBBC0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30805D4"/>
    <w:multiLevelType w:val="hybridMultilevel"/>
    <w:tmpl w:val="6FAE02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B42463"/>
    <w:multiLevelType w:val="hybridMultilevel"/>
    <w:tmpl w:val="33D0FF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BEF450D"/>
    <w:multiLevelType w:val="hybridMultilevel"/>
    <w:tmpl w:val="88BE585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C0D574D"/>
    <w:multiLevelType w:val="hybridMultilevel"/>
    <w:tmpl w:val="1F60100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C3D076C"/>
    <w:multiLevelType w:val="multilevel"/>
    <w:tmpl w:val="E65C029E"/>
    <w:lvl w:ilvl="0">
      <w:start w:val="1"/>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0"/>
  </w:num>
  <w:num w:numId="3">
    <w:abstractNumId w:val="8"/>
  </w:num>
  <w:num w:numId="4">
    <w:abstractNumId w:val="5"/>
  </w:num>
  <w:num w:numId="5">
    <w:abstractNumId w:val="4"/>
  </w:num>
  <w:num w:numId="6">
    <w:abstractNumId w:val="3"/>
  </w:num>
  <w:num w:numId="7">
    <w:abstractNumId w:val="6"/>
  </w:num>
  <w:num w:numId="8">
    <w:abstractNumId w:val="1"/>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0051E"/>
    <w:rsid w:val="0000051E"/>
    <w:rsid w:val="00043B57"/>
    <w:rsid w:val="000F5675"/>
    <w:rsid w:val="00201CEB"/>
    <w:rsid w:val="00206263"/>
    <w:rsid w:val="00213A55"/>
    <w:rsid w:val="002A3EB8"/>
    <w:rsid w:val="00413E89"/>
    <w:rsid w:val="004D445C"/>
    <w:rsid w:val="005627EE"/>
    <w:rsid w:val="005F0EC6"/>
    <w:rsid w:val="0067660C"/>
    <w:rsid w:val="006E62D7"/>
    <w:rsid w:val="0073409E"/>
    <w:rsid w:val="00784729"/>
    <w:rsid w:val="007B65CB"/>
    <w:rsid w:val="007D4EA1"/>
    <w:rsid w:val="007E47CF"/>
    <w:rsid w:val="008201D5"/>
    <w:rsid w:val="008D17AB"/>
    <w:rsid w:val="0090639D"/>
    <w:rsid w:val="00A3707F"/>
    <w:rsid w:val="00A61355"/>
    <w:rsid w:val="00BF3A54"/>
    <w:rsid w:val="00BF5CDA"/>
    <w:rsid w:val="00C56574"/>
    <w:rsid w:val="00D41AAD"/>
    <w:rsid w:val="00E21F86"/>
    <w:rsid w:val="00ED72BC"/>
    <w:rsid w:val="00F23F21"/>
    <w:rsid w:val="00F3601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7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5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051E"/>
  </w:style>
  <w:style w:type="paragraph" w:styleId="Footer">
    <w:name w:val="footer"/>
    <w:basedOn w:val="Normal"/>
    <w:link w:val="FooterChar"/>
    <w:uiPriority w:val="99"/>
    <w:unhideWhenUsed/>
    <w:rsid w:val="000005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051E"/>
  </w:style>
  <w:style w:type="table" w:styleId="TableGrid">
    <w:name w:val="Table Grid"/>
    <w:basedOn w:val="TableNormal"/>
    <w:uiPriority w:val="39"/>
    <w:rsid w:val="008D17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6ColorfulAccent5">
    <w:name w:val="Grid Table 6 Colorful Accent 5"/>
    <w:basedOn w:val="TableNormal"/>
    <w:uiPriority w:val="51"/>
    <w:rsid w:val="006E62D7"/>
    <w:pPr>
      <w:spacing w:after="0" w:line="240" w:lineRule="auto"/>
    </w:pPr>
    <w:rPr>
      <w:color w:val="2E74B5" w:themeColor="accent5" w:themeShade="BF"/>
    </w:r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CellMar>
        <w:top w:w="0" w:type="dxa"/>
        <w:left w:w="108" w:type="dxa"/>
        <w:bottom w:w="0" w:type="dxa"/>
        <w:right w:w="108" w:type="dxa"/>
      </w:tblCellMar>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5Dark-Accent11">
    <w:name w:val="Grid Table 5 Dark - Accent 11"/>
    <w:basedOn w:val="TableNormal"/>
    <w:uiPriority w:val="50"/>
    <w:rsid w:val="00ED72BC"/>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ListParagraph">
    <w:name w:val="List Paragraph"/>
    <w:basedOn w:val="Normal"/>
    <w:uiPriority w:val="34"/>
    <w:qFormat/>
    <w:rsid w:val="007D4E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3</Pages>
  <Words>709</Words>
  <Characters>4046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Saurav Ganguli</dc:creator>
  <cp:keywords/>
  <dc:description/>
  <cp:lastModifiedBy>H Nanda</cp:lastModifiedBy>
  <cp:revision>28</cp:revision>
  <dcterms:created xsi:type="dcterms:W3CDTF">2020-11-18T16:20:00Z</dcterms:created>
  <dcterms:modified xsi:type="dcterms:W3CDTF">2020-11-22T10:32:00Z</dcterms:modified>
</cp:coreProperties>
</file>